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B5F75" w14:textId="037802FF" w:rsidR="009A5F87" w:rsidRPr="00FA0B4B" w:rsidRDefault="00FA0B4B" w:rsidP="00FA0B4B">
      <w:pPr>
        <w:spacing w:after="20"/>
        <w:jc w:val="center"/>
        <w:rPr>
          <w:rFonts w:ascii="Calibri" w:hAnsi="Calibri"/>
          <w:b/>
          <w:color w:val="000000" w:themeColor="text1"/>
          <w:sz w:val="26"/>
          <w:lang w:val="es-ES_tradnl"/>
        </w:rPr>
      </w:pPr>
      <w:r w:rsidRPr="00FA0B4B">
        <w:rPr>
          <w:rFonts w:ascii="Calibri" w:hAnsi="Calibri"/>
          <w:b/>
          <w:color w:val="000000" w:themeColor="text1"/>
          <w:sz w:val="26"/>
          <w:lang w:val="es-ES_tradnl"/>
        </w:rPr>
        <w:t xml:space="preserve">MÓDULO 2. </w:t>
      </w:r>
      <w:r w:rsidR="00000000" w:rsidRPr="00FA0B4B">
        <w:rPr>
          <w:rFonts w:ascii="Calibri" w:hAnsi="Calibri"/>
          <w:b/>
          <w:color w:val="000000" w:themeColor="text1"/>
          <w:sz w:val="26"/>
          <w:lang w:val="es-ES_tradnl"/>
        </w:rPr>
        <w:t>CASO PEDAGÓGICO</w:t>
      </w:r>
    </w:p>
    <w:p w14:paraId="0B29F240" w14:textId="77777777" w:rsidR="00FA0B4B" w:rsidRPr="00FA0B4B" w:rsidRDefault="00FA0B4B" w:rsidP="00FA0B4B">
      <w:pPr>
        <w:spacing w:after="20"/>
        <w:jc w:val="center"/>
        <w:rPr>
          <w:color w:val="000000" w:themeColor="text1"/>
          <w:lang w:val="es-ES_tradnl"/>
        </w:rPr>
      </w:pPr>
    </w:p>
    <w:p w14:paraId="6D924C0A" w14:textId="203065C8" w:rsidR="009A5F87" w:rsidRPr="00FA0B4B" w:rsidRDefault="00000000" w:rsidP="00FA0B4B">
      <w:pPr>
        <w:spacing w:after="80"/>
        <w:rPr>
          <w:color w:val="000000" w:themeColor="text1"/>
          <w:lang w:val="es-ES_tradnl"/>
        </w:rPr>
      </w:pPr>
      <w:r w:rsidRPr="00FA0B4B">
        <w:rPr>
          <w:rFonts w:ascii="Calibri" w:hAnsi="Calibri"/>
          <w:color w:val="000000" w:themeColor="text1"/>
          <w:sz w:val="19"/>
          <w:lang w:val="es-ES_tradnl"/>
        </w:rPr>
        <w:t xml:space="preserve">Es martes </w:t>
      </w:r>
      <w:r w:rsidR="00FA0B4B" w:rsidRPr="00FA0B4B">
        <w:rPr>
          <w:rFonts w:ascii="Calibri" w:hAnsi="Calibri"/>
          <w:color w:val="000000" w:themeColor="text1"/>
          <w:sz w:val="19"/>
          <w:lang w:val="es-ES_tradnl"/>
        </w:rPr>
        <w:t>de la semana pasada</w:t>
      </w:r>
      <w:r w:rsidRPr="00FA0B4B">
        <w:rPr>
          <w:rFonts w:ascii="Calibri" w:hAnsi="Calibri"/>
          <w:color w:val="000000" w:themeColor="text1"/>
          <w:sz w:val="19"/>
          <w:lang w:val="es-ES_tradnl"/>
        </w:rPr>
        <w:t xml:space="preserve"> Lucía Morales, madre de dos estudiantes de quinto y séptimo grado de la I.E. La Esperanza, llega al colegio en la hora del almuerzo para participar en la reunión mensual del Comité de Alimentación Escolar (CAE). Al ingresar al comedor, lo que observa la detiene en seco: sobre las bandejas hay arroz blanco con salchichón y un jugo preparado con sobre de polvo. Nada de esto coincide con el ciclo de menús que ella conoce —el cual establece, conforme a los lineamientos de la Resolución 003 de 2026, una proteína animal de alto valor biológico, cereal, leguminosa, verdura y fruta fresca—.</w:t>
      </w:r>
    </w:p>
    <w:p w14:paraId="207C0D27" w14:textId="2C791B50" w:rsidR="009A5F87" w:rsidRPr="00FA0B4B" w:rsidRDefault="00FA0B4B" w:rsidP="00FA0B4B">
      <w:pPr>
        <w:spacing w:after="80"/>
        <w:rPr>
          <w:color w:val="000000" w:themeColor="text1"/>
          <w:lang w:val="es-ES_tradnl"/>
        </w:rPr>
      </w:pPr>
      <w:r w:rsidRPr="00FA0B4B">
        <w:rPr>
          <w:rFonts w:ascii="Calibri" w:hAnsi="Calibri"/>
          <w:color w:val="000000" w:themeColor="text1"/>
          <w:sz w:val="19"/>
          <w:lang w:val="es-ES_tradnl"/>
        </w:rPr>
        <w:t xml:space="preserve">De igual forma, </w:t>
      </w:r>
      <w:r w:rsidR="00000000" w:rsidRPr="00FA0B4B">
        <w:rPr>
          <w:rFonts w:ascii="Calibri" w:hAnsi="Calibri"/>
          <w:color w:val="000000" w:themeColor="text1"/>
          <w:sz w:val="19"/>
          <w:lang w:val="es-ES_tradnl"/>
        </w:rPr>
        <w:t>Lucía nota que las porciones son considerablemente más pequeñas que las indicadas en los gramajes aprobados por la UApA: varios niños de primaria reciben la misma cantidad que los jóvenes de bachillerato. Al fondo del comedor, la llave de agua potable está cerrada con un candado y sobre ella hay un cartel que dice «fuera de servicio». Los estudiantes no tienen acceso a agua durante la alimentación. Lucía también escucha a una niña de tercero decirle a su compañera: «esto es lo tercera vez esta semana que nos dan lo mismo».</w:t>
      </w:r>
    </w:p>
    <w:p w14:paraId="52114BD6" w14:textId="77777777" w:rsidR="009A5F87" w:rsidRPr="00FA0B4B" w:rsidRDefault="00000000" w:rsidP="00FA0B4B">
      <w:pPr>
        <w:spacing w:after="100"/>
        <w:rPr>
          <w:color w:val="000000" w:themeColor="text1"/>
          <w:lang w:val="es-ES_tradnl"/>
        </w:rPr>
      </w:pPr>
      <w:r w:rsidRPr="00FA0B4B">
        <w:rPr>
          <w:rFonts w:ascii="Calibri" w:hAnsi="Calibri"/>
          <w:color w:val="000000" w:themeColor="text1"/>
          <w:sz w:val="19"/>
          <w:lang w:val="es-ES_tradnl"/>
        </w:rPr>
        <w:t>Lucía está frente a un incumplimiento contractual evidente: el operador no está prestando el servicio conforme a los lineamientos técnicos ni a las condiciones del contrato. Lejos de reaccionar con indignación improductiva, recuerda lo que aprendió en el curso: tiene herramientas normativas, conoce a los actores responsables y sabe exactamente qué pasos seguir. Esto es corresponsabilidad en acción.</w:t>
      </w:r>
    </w:p>
    <w:p w14:paraId="4F93F8ED" w14:textId="474EEA0E" w:rsidR="009A5F87" w:rsidRPr="00FA0B4B" w:rsidRDefault="00FA0B4B" w:rsidP="00FA0B4B">
      <w:pPr>
        <w:spacing w:after="60"/>
        <w:rPr>
          <w:rFonts w:ascii="Calibri" w:hAnsi="Calibri"/>
          <w:color w:val="000000" w:themeColor="text1"/>
          <w:sz w:val="19"/>
          <w:lang w:val="es-ES_tradnl"/>
        </w:rPr>
      </w:pPr>
      <w:r w:rsidRPr="00FA0B4B">
        <w:rPr>
          <w:rFonts w:ascii="Calibri" w:hAnsi="Calibri"/>
          <w:color w:val="000000" w:themeColor="text1"/>
          <w:sz w:val="19"/>
          <w:lang w:val="es-ES_tradnl"/>
        </w:rPr>
        <w:t xml:space="preserve">Recuerda </w:t>
      </w:r>
      <w:proofErr w:type="gramStart"/>
      <w:r w:rsidRPr="00FA0B4B">
        <w:rPr>
          <w:rFonts w:ascii="Calibri" w:hAnsi="Calibri"/>
          <w:color w:val="000000" w:themeColor="text1"/>
          <w:sz w:val="19"/>
          <w:lang w:val="es-ES_tradnl"/>
        </w:rPr>
        <w:t>que</w:t>
      </w:r>
      <w:proofErr w:type="gramEnd"/>
      <w:r w:rsidRPr="00FA0B4B">
        <w:rPr>
          <w:rFonts w:ascii="Calibri" w:hAnsi="Calibri"/>
          <w:color w:val="000000" w:themeColor="text1"/>
          <w:sz w:val="19"/>
          <w:lang w:val="es-ES_tradnl"/>
        </w:rPr>
        <w:t xml:space="preserve"> a</w:t>
      </w:r>
      <w:r w:rsidR="00000000" w:rsidRPr="00FA0B4B">
        <w:rPr>
          <w:rFonts w:ascii="Calibri" w:hAnsi="Calibri"/>
          <w:color w:val="000000" w:themeColor="text1"/>
          <w:sz w:val="19"/>
          <w:lang w:val="es-ES_tradnl"/>
        </w:rPr>
        <w:t>nte esta situación, cada actor tiene un rol claro definido por el marco normativo del PAE:</w:t>
      </w:r>
    </w:p>
    <w:p w14:paraId="58D2906D" w14:textId="77777777" w:rsidR="00FA0B4B" w:rsidRPr="00FA0B4B" w:rsidRDefault="00FA0B4B" w:rsidP="00FA0B4B">
      <w:pPr>
        <w:spacing w:after="60"/>
        <w:rPr>
          <w:color w:val="000000" w:themeColor="text1"/>
          <w:lang w:val="es-ES_tradnl"/>
        </w:rPr>
      </w:pPr>
    </w:p>
    <w:tbl>
      <w:tblPr>
        <w:tblStyle w:val="Tablaconcuadrcula"/>
        <w:tblW w:w="0" w:type="auto"/>
        <w:jc w:val="center"/>
        <w:tblLook w:val="04A0" w:firstRow="1" w:lastRow="0" w:firstColumn="1" w:lastColumn="0" w:noHBand="0" w:noVBand="1"/>
      </w:tblPr>
      <w:tblGrid>
        <w:gridCol w:w="2721"/>
        <w:gridCol w:w="5386"/>
      </w:tblGrid>
      <w:tr w:rsidR="009A5F87" w:rsidRPr="00FA0B4B" w14:paraId="27872EAB" w14:textId="77777777" w:rsidTr="00FA0B4B">
        <w:trPr>
          <w:jc w:val="center"/>
        </w:trPr>
        <w:tc>
          <w:tcPr>
            <w:tcW w:w="2721" w:type="dxa"/>
          </w:tcPr>
          <w:p w14:paraId="7AC18E5C" w14:textId="77777777" w:rsidR="009A5F87" w:rsidRPr="00FA0B4B" w:rsidRDefault="00000000" w:rsidP="00FA0B4B">
            <w:pPr>
              <w:spacing w:before="20" w:after="20"/>
              <w:rPr>
                <w:color w:val="000000" w:themeColor="text1"/>
                <w:lang w:val="es-ES_tradnl"/>
              </w:rPr>
            </w:pPr>
            <w:r w:rsidRPr="00FA0B4B">
              <w:rPr>
                <w:rFonts w:ascii="Calibri" w:hAnsi="Calibri"/>
                <w:b/>
                <w:color w:val="000000" w:themeColor="text1"/>
                <w:sz w:val="17"/>
                <w:lang w:val="es-ES_tradnl"/>
              </w:rPr>
              <w:t>Actor</w:t>
            </w:r>
          </w:p>
        </w:tc>
        <w:tc>
          <w:tcPr>
            <w:tcW w:w="5386" w:type="dxa"/>
          </w:tcPr>
          <w:p w14:paraId="6E7F5FB2" w14:textId="77777777" w:rsidR="009A5F87" w:rsidRPr="00FA0B4B" w:rsidRDefault="00000000" w:rsidP="00FA0B4B">
            <w:pPr>
              <w:spacing w:before="20" w:after="20"/>
              <w:rPr>
                <w:color w:val="000000" w:themeColor="text1"/>
                <w:lang w:val="es-ES_tradnl"/>
              </w:rPr>
            </w:pPr>
            <w:r w:rsidRPr="00FA0B4B">
              <w:rPr>
                <w:rFonts w:ascii="Calibri" w:hAnsi="Calibri"/>
                <w:b/>
                <w:color w:val="000000" w:themeColor="text1"/>
                <w:sz w:val="17"/>
                <w:lang w:val="es-ES_tradnl"/>
              </w:rPr>
              <w:t>Rol en esta situación</w:t>
            </w:r>
          </w:p>
        </w:tc>
      </w:tr>
      <w:tr w:rsidR="009A5F87" w:rsidRPr="00FA0B4B" w14:paraId="4EB20195" w14:textId="77777777" w:rsidTr="00FA0B4B">
        <w:trPr>
          <w:jc w:val="center"/>
        </w:trPr>
        <w:tc>
          <w:tcPr>
            <w:tcW w:w="2721" w:type="dxa"/>
          </w:tcPr>
          <w:p w14:paraId="08162B78" w14:textId="77777777" w:rsidR="009A5F87" w:rsidRPr="00FA0B4B" w:rsidRDefault="00000000" w:rsidP="00FA0B4B">
            <w:pPr>
              <w:spacing w:before="20" w:after="20"/>
              <w:rPr>
                <w:color w:val="000000" w:themeColor="text1"/>
                <w:lang w:val="es-ES_tradnl"/>
              </w:rPr>
            </w:pPr>
            <w:r w:rsidRPr="00FA0B4B">
              <w:rPr>
                <w:rFonts w:ascii="Calibri" w:hAnsi="Calibri"/>
                <w:color w:val="000000" w:themeColor="text1"/>
                <w:sz w:val="17"/>
                <w:lang w:val="es-ES_tradnl"/>
              </w:rPr>
              <w:t>Lucía – madre de familia / CAE</w:t>
            </w:r>
          </w:p>
        </w:tc>
        <w:tc>
          <w:tcPr>
            <w:tcW w:w="5386" w:type="dxa"/>
          </w:tcPr>
          <w:p w14:paraId="558E49CC" w14:textId="77777777" w:rsidR="009A5F87" w:rsidRPr="00FA0B4B" w:rsidRDefault="00000000" w:rsidP="00FA0B4B">
            <w:pPr>
              <w:spacing w:before="20" w:after="20"/>
              <w:rPr>
                <w:color w:val="000000" w:themeColor="text1"/>
                <w:lang w:val="es-ES_tradnl"/>
              </w:rPr>
            </w:pPr>
            <w:r w:rsidRPr="00FA0B4B">
              <w:rPr>
                <w:rFonts w:ascii="Calibri" w:hAnsi="Calibri"/>
                <w:color w:val="000000" w:themeColor="text1"/>
                <w:sz w:val="17"/>
                <w:lang w:val="es-ES_tradnl"/>
              </w:rPr>
              <w:t>Reporta la novedad, activa el CAE y ejerce control social directo como representante de padres.</w:t>
            </w:r>
          </w:p>
        </w:tc>
      </w:tr>
      <w:tr w:rsidR="009A5F87" w:rsidRPr="00FA0B4B" w14:paraId="3C5B555C" w14:textId="77777777" w:rsidTr="00FA0B4B">
        <w:trPr>
          <w:jc w:val="center"/>
        </w:trPr>
        <w:tc>
          <w:tcPr>
            <w:tcW w:w="2721" w:type="dxa"/>
          </w:tcPr>
          <w:p w14:paraId="1DF38F3E" w14:textId="77777777" w:rsidR="009A5F87" w:rsidRPr="00FA0B4B" w:rsidRDefault="00000000" w:rsidP="00FA0B4B">
            <w:pPr>
              <w:spacing w:before="20" w:after="20"/>
              <w:rPr>
                <w:color w:val="000000" w:themeColor="text1"/>
                <w:lang w:val="es-ES_tradnl"/>
              </w:rPr>
            </w:pPr>
            <w:r w:rsidRPr="00FA0B4B">
              <w:rPr>
                <w:rFonts w:ascii="Calibri" w:hAnsi="Calibri"/>
                <w:color w:val="000000" w:themeColor="text1"/>
                <w:sz w:val="17"/>
                <w:lang w:val="es-ES_tradnl"/>
              </w:rPr>
              <w:t>Rector / directivo docente</w:t>
            </w:r>
          </w:p>
        </w:tc>
        <w:tc>
          <w:tcPr>
            <w:tcW w:w="5386" w:type="dxa"/>
          </w:tcPr>
          <w:p w14:paraId="23CAF665" w14:textId="6A1B9702" w:rsidR="009A5F87" w:rsidRPr="00FA0B4B" w:rsidRDefault="00FA0B4B" w:rsidP="00FA0B4B">
            <w:pPr>
              <w:spacing w:before="20" w:after="20"/>
              <w:rPr>
                <w:color w:val="000000" w:themeColor="text1"/>
                <w:lang w:val="es-ES_tradnl"/>
              </w:rPr>
            </w:pPr>
            <w:r w:rsidRPr="00FA0B4B">
              <w:rPr>
                <w:rFonts w:ascii="Calibri" w:hAnsi="Calibri"/>
                <w:color w:val="000000" w:themeColor="text1"/>
                <w:sz w:val="17"/>
                <w:lang w:val="es-ES_tradnl"/>
              </w:rPr>
              <w:t>Acompaña</w:t>
            </w:r>
            <w:r w:rsidR="00000000" w:rsidRPr="00FA0B4B">
              <w:rPr>
                <w:rFonts w:ascii="Calibri" w:hAnsi="Calibri"/>
                <w:color w:val="000000" w:themeColor="text1"/>
                <w:sz w:val="17"/>
                <w:lang w:val="es-ES_tradnl"/>
              </w:rPr>
              <w:t xml:space="preserve"> el CAE, coordina con el operador y reporta a la ETC. Garantiza condiciones del servicio en la IE.</w:t>
            </w:r>
          </w:p>
        </w:tc>
      </w:tr>
      <w:tr w:rsidR="009A5F87" w:rsidRPr="00FA0B4B" w14:paraId="7D36A243" w14:textId="77777777" w:rsidTr="00FA0B4B">
        <w:trPr>
          <w:jc w:val="center"/>
        </w:trPr>
        <w:tc>
          <w:tcPr>
            <w:tcW w:w="2721" w:type="dxa"/>
          </w:tcPr>
          <w:p w14:paraId="16E68E01" w14:textId="77777777" w:rsidR="009A5F87" w:rsidRPr="00FA0B4B" w:rsidRDefault="00000000" w:rsidP="00FA0B4B">
            <w:pPr>
              <w:spacing w:before="20" w:after="20"/>
              <w:rPr>
                <w:color w:val="000000" w:themeColor="text1"/>
                <w:lang w:val="es-ES_tradnl"/>
              </w:rPr>
            </w:pPr>
            <w:r w:rsidRPr="00FA0B4B">
              <w:rPr>
                <w:rFonts w:ascii="Calibri" w:hAnsi="Calibri"/>
                <w:color w:val="000000" w:themeColor="text1"/>
                <w:sz w:val="17"/>
                <w:lang w:val="es-ES_tradnl"/>
              </w:rPr>
              <w:t>Docentes (miembros del CAE)</w:t>
            </w:r>
          </w:p>
        </w:tc>
        <w:tc>
          <w:tcPr>
            <w:tcW w:w="5386" w:type="dxa"/>
          </w:tcPr>
          <w:p w14:paraId="25E27F34" w14:textId="77777777" w:rsidR="009A5F87" w:rsidRPr="00FA0B4B" w:rsidRDefault="00000000" w:rsidP="00FA0B4B">
            <w:pPr>
              <w:spacing w:before="20" w:after="20"/>
              <w:rPr>
                <w:color w:val="000000" w:themeColor="text1"/>
                <w:lang w:val="es-ES_tradnl"/>
              </w:rPr>
            </w:pPr>
            <w:r w:rsidRPr="00FA0B4B">
              <w:rPr>
                <w:rFonts w:ascii="Calibri" w:hAnsi="Calibri"/>
                <w:color w:val="000000" w:themeColor="text1"/>
                <w:sz w:val="17"/>
                <w:lang w:val="es-ES_tradnl"/>
              </w:rPr>
              <w:t>Corroboran los hechos y participan en el acta del CAE. Promueven la participación de la comunidad.</w:t>
            </w:r>
          </w:p>
        </w:tc>
      </w:tr>
      <w:tr w:rsidR="009A5F87" w:rsidRPr="00FA0B4B" w14:paraId="065D94E0" w14:textId="77777777" w:rsidTr="00FA0B4B">
        <w:trPr>
          <w:jc w:val="center"/>
        </w:trPr>
        <w:tc>
          <w:tcPr>
            <w:tcW w:w="2721" w:type="dxa"/>
          </w:tcPr>
          <w:p w14:paraId="33FBE345" w14:textId="0E7BDBA4" w:rsidR="009A5F87" w:rsidRPr="00FA0B4B" w:rsidRDefault="00000000" w:rsidP="00FA0B4B">
            <w:pPr>
              <w:spacing w:before="20" w:after="20"/>
              <w:rPr>
                <w:color w:val="000000" w:themeColor="text1"/>
                <w:lang w:val="es-ES_tradnl"/>
              </w:rPr>
            </w:pPr>
            <w:r w:rsidRPr="00FA0B4B">
              <w:rPr>
                <w:rFonts w:ascii="Calibri" w:hAnsi="Calibri"/>
                <w:color w:val="000000" w:themeColor="text1"/>
                <w:sz w:val="17"/>
                <w:lang w:val="es-ES_tradnl"/>
              </w:rPr>
              <w:t xml:space="preserve">Operador </w:t>
            </w:r>
          </w:p>
        </w:tc>
        <w:tc>
          <w:tcPr>
            <w:tcW w:w="5386" w:type="dxa"/>
          </w:tcPr>
          <w:p w14:paraId="614A9C5D" w14:textId="77777777" w:rsidR="009A5F87" w:rsidRPr="00FA0B4B" w:rsidRDefault="00000000" w:rsidP="00FA0B4B">
            <w:pPr>
              <w:spacing w:before="20" w:after="20"/>
              <w:rPr>
                <w:color w:val="000000" w:themeColor="text1"/>
                <w:lang w:val="es-ES_tradnl"/>
              </w:rPr>
            </w:pPr>
            <w:r w:rsidRPr="00FA0B4B">
              <w:rPr>
                <w:rFonts w:ascii="Calibri" w:hAnsi="Calibri"/>
                <w:color w:val="000000" w:themeColor="text1"/>
                <w:sz w:val="17"/>
                <w:lang w:val="es-ES_tradnl"/>
              </w:rPr>
              <w:t>Debe cumplir el ciclo de menús y gramajes aprobados. Responde ante el CAE y la ETC por el incumplimiento.</w:t>
            </w:r>
          </w:p>
        </w:tc>
      </w:tr>
      <w:tr w:rsidR="009A5F87" w:rsidRPr="00FA0B4B" w14:paraId="4C142C47" w14:textId="77777777" w:rsidTr="00FA0B4B">
        <w:trPr>
          <w:jc w:val="center"/>
        </w:trPr>
        <w:tc>
          <w:tcPr>
            <w:tcW w:w="2721" w:type="dxa"/>
          </w:tcPr>
          <w:p w14:paraId="4F24F6DE" w14:textId="40A5E15E" w:rsidR="009A5F87" w:rsidRPr="00FA0B4B" w:rsidRDefault="00000000" w:rsidP="00FA0B4B">
            <w:pPr>
              <w:spacing w:before="20" w:after="20"/>
              <w:rPr>
                <w:color w:val="000000" w:themeColor="text1"/>
                <w:lang w:val="es-ES_tradnl"/>
              </w:rPr>
            </w:pPr>
            <w:r w:rsidRPr="00FA0B4B">
              <w:rPr>
                <w:rFonts w:ascii="Calibri" w:hAnsi="Calibri"/>
                <w:color w:val="000000" w:themeColor="text1"/>
                <w:sz w:val="17"/>
                <w:lang w:val="es-ES_tradnl"/>
              </w:rPr>
              <w:t xml:space="preserve">ETC </w:t>
            </w:r>
          </w:p>
        </w:tc>
        <w:tc>
          <w:tcPr>
            <w:tcW w:w="5386" w:type="dxa"/>
          </w:tcPr>
          <w:p w14:paraId="581F83E7" w14:textId="77777777" w:rsidR="009A5F87" w:rsidRPr="00FA0B4B" w:rsidRDefault="00000000" w:rsidP="00FA0B4B">
            <w:pPr>
              <w:spacing w:before="20" w:after="20"/>
              <w:rPr>
                <w:color w:val="000000" w:themeColor="text1"/>
                <w:lang w:val="es-ES_tradnl"/>
              </w:rPr>
            </w:pPr>
            <w:r w:rsidRPr="00FA0B4B">
              <w:rPr>
                <w:rFonts w:ascii="Calibri" w:hAnsi="Calibri"/>
                <w:color w:val="000000" w:themeColor="text1"/>
                <w:sz w:val="17"/>
                <w:lang w:val="es-ES_tradnl"/>
              </w:rPr>
              <w:t>Supervisa el contrato, recibe informes del CAE, aplica medidas correctivas y convoca Mesa Pública.</w:t>
            </w:r>
          </w:p>
        </w:tc>
      </w:tr>
      <w:tr w:rsidR="009A5F87" w:rsidRPr="00FA0B4B" w14:paraId="53728547" w14:textId="77777777" w:rsidTr="00FA0B4B">
        <w:trPr>
          <w:jc w:val="center"/>
        </w:trPr>
        <w:tc>
          <w:tcPr>
            <w:tcW w:w="2721" w:type="dxa"/>
          </w:tcPr>
          <w:p w14:paraId="3CF38732" w14:textId="77777777" w:rsidR="009A5F87" w:rsidRPr="00FA0B4B" w:rsidRDefault="00000000" w:rsidP="00FA0B4B">
            <w:pPr>
              <w:spacing w:before="20" w:after="20"/>
              <w:rPr>
                <w:color w:val="000000" w:themeColor="text1"/>
                <w:lang w:val="es-ES_tradnl"/>
              </w:rPr>
            </w:pPr>
            <w:r w:rsidRPr="00FA0B4B">
              <w:rPr>
                <w:rFonts w:ascii="Calibri" w:hAnsi="Calibri"/>
                <w:color w:val="000000" w:themeColor="text1"/>
                <w:sz w:val="17"/>
                <w:lang w:val="es-ES_tradnl"/>
              </w:rPr>
              <w:t>UApA</w:t>
            </w:r>
          </w:p>
        </w:tc>
        <w:tc>
          <w:tcPr>
            <w:tcW w:w="5386" w:type="dxa"/>
          </w:tcPr>
          <w:p w14:paraId="6596561D" w14:textId="77777777" w:rsidR="009A5F87" w:rsidRPr="00FA0B4B" w:rsidRDefault="00000000" w:rsidP="00FA0B4B">
            <w:pPr>
              <w:spacing w:before="20" w:after="20"/>
              <w:rPr>
                <w:color w:val="000000" w:themeColor="text1"/>
                <w:lang w:val="es-ES_tradnl"/>
              </w:rPr>
            </w:pPr>
            <w:r w:rsidRPr="00FA0B4B">
              <w:rPr>
                <w:rFonts w:ascii="Calibri" w:hAnsi="Calibri"/>
                <w:color w:val="000000" w:themeColor="text1"/>
                <w:sz w:val="17"/>
                <w:lang w:val="es-ES_tradnl"/>
              </w:rPr>
              <w:t>Recibe reportes consolidados de la ETC; emite directrices y hace seguimiento nacional al programa.</w:t>
            </w:r>
          </w:p>
        </w:tc>
      </w:tr>
    </w:tbl>
    <w:p w14:paraId="6B6FE076" w14:textId="77777777" w:rsidR="009A5F87" w:rsidRPr="00FA0B4B" w:rsidRDefault="009A5F87" w:rsidP="00FA0B4B">
      <w:pPr>
        <w:spacing w:after="80"/>
        <w:rPr>
          <w:color w:val="000000" w:themeColor="text1"/>
          <w:lang w:val="es-ES_tradnl"/>
        </w:rPr>
      </w:pPr>
    </w:p>
    <w:p w14:paraId="3E030FBF" w14:textId="36C3B53B" w:rsidR="009A5F87" w:rsidRPr="00FA0B4B" w:rsidRDefault="00000000" w:rsidP="00FA0B4B">
      <w:pPr>
        <w:spacing w:after="100"/>
        <w:ind w:left="170" w:right="170"/>
        <w:rPr>
          <w:color w:val="000000" w:themeColor="text1"/>
          <w:lang w:val="es-ES_tradnl"/>
        </w:rPr>
      </w:pPr>
      <w:r w:rsidRPr="00FA0B4B">
        <w:rPr>
          <w:rFonts w:ascii="Calibri" w:hAnsi="Calibri"/>
          <w:i/>
          <w:color w:val="000000" w:themeColor="text1"/>
          <w:sz w:val="17"/>
          <w:lang w:val="es-ES_tradnl"/>
        </w:rPr>
        <w:t xml:space="preserve"> Reflexión: ¿Reconoces estos actores en tu institución educativa? ¿Están cumpliendo sus roles? Identificar quién hace qué es el primer paso para ejercer el control social.</w:t>
      </w:r>
    </w:p>
    <w:p w14:paraId="6BD83C43" w14:textId="77777777" w:rsidR="00FA0B4B" w:rsidRPr="00FA0B4B" w:rsidRDefault="00FA0B4B" w:rsidP="00FA0B4B">
      <w:pPr>
        <w:spacing w:after="80"/>
        <w:rPr>
          <w:rFonts w:ascii="Calibri" w:hAnsi="Calibri"/>
          <w:color w:val="000000" w:themeColor="text1"/>
          <w:sz w:val="19"/>
          <w:lang w:val="es-ES_tradnl"/>
        </w:rPr>
      </w:pPr>
    </w:p>
    <w:p w14:paraId="41436506" w14:textId="5045F855" w:rsidR="009A5F87" w:rsidRPr="00FA0B4B" w:rsidRDefault="00FA0B4B" w:rsidP="00FA0B4B">
      <w:pPr>
        <w:spacing w:after="80"/>
        <w:rPr>
          <w:rFonts w:ascii="Calibri" w:hAnsi="Calibri"/>
          <w:color w:val="000000" w:themeColor="text1"/>
          <w:sz w:val="19"/>
          <w:lang w:val="es-ES_tradnl"/>
        </w:rPr>
      </w:pPr>
      <w:r w:rsidRPr="00FA0B4B">
        <w:rPr>
          <w:rFonts w:ascii="Calibri" w:hAnsi="Calibri"/>
          <w:color w:val="000000" w:themeColor="text1"/>
          <w:sz w:val="19"/>
          <w:lang w:val="es-ES_tradnl"/>
        </w:rPr>
        <w:t xml:space="preserve">Ante esta situación </w:t>
      </w:r>
      <w:r w:rsidR="00000000" w:rsidRPr="00FA0B4B">
        <w:rPr>
          <w:rFonts w:ascii="Calibri" w:hAnsi="Calibri"/>
          <w:color w:val="000000" w:themeColor="text1"/>
          <w:sz w:val="19"/>
          <w:lang w:val="es-ES_tradnl"/>
        </w:rPr>
        <w:t>Lucía activa, paso a paso, los tres mecanismos que establece</w:t>
      </w:r>
      <w:r w:rsidRPr="00FA0B4B">
        <w:rPr>
          <w:rFonts w:ascii="Calibri" w:hAnsi="Calibri"/>
          <w:color w:val="000000" w:themeColor="text1"/>
          <w:sz w:val="19"/>
          <w:lang w:val="es-ES_tradnl"/>
        </w:rPr>
        <w:t xml:space="preserve"> el anexo técnico 7. Participación Ciudadana de la resolución 0155 de 2026 de la UApA</w:t>
      </w:r>
      <w:r w:rsidR="00000000" w:rsidRPr="00FA0B4B">
        <w:rPr>
          <w:rFonts w:ascii="Calibri" w:hAnsi="Calibri"/>
          <w:color w:val="000000" w:themeColor="text1"/>
          <w:sz w:val="19"/>
          <w:lang w:val="es-ES_tradnl"/>
        </w:rPr>
        <w:t>:</w:t>
      </w:r>
    </w:p>
    <w:p w14:paraId="7632C0D9" w14:textId="77777777" w:rsidR="00FA0B4B" w:rsidRPr="00FA0B4B" w:rsidRDefault="00FA0B4B" w:rsidP="00FA0B4B">
      <w:pPr>
        <w:spacing w:after="80"/>
        <w:rPr>
          <w:color w:val="000000" w:themeColor="text1"/>
          <w:lang w:val="es-ES_tradnl"/>
        </w:rPr>
      </w:pPr>
    </w:p>
    <w:p w14:paraId="518768C7" w14:textId="77777777" w:rsidR="009A5F87" w:rsidRPr="00FA0B4B" w:rsidRDefault="00000000" w:rsidP="00FA0B4B">
      <w:pPr>
        <w:spacing w:before="40" w:after="40"/>
        <w:rPr>
          <w:color w:val="000000" w:themeColor="text1"/>
          <w:lang w:val="es-ES_tradnl"/>
        </w:rPr>
      </w:pPr>
      <w:r w:rsidRPr="00FA0B4B">
        <w:rPr>
          <w:rFonts w:ascii="Calibri" w:hAnsi="Calibri"/>
          <w:b/>
          <w:color w:val="000000" w:themeColor="text1"/>
          <w:sz w:val="20"/>
          <w:lang w:val="es-ES_tradnl"/>
        </w:rPr>
        <w:t>Mecanismo 1 – Comité de Alimentación Escolar (CAE): control desde adentro</w:t>
      </w:r>
    </w:p>
    <w:p w14:paraId="52CB6CB7" w14:textId="35481E68" w:rsidR="009A5F87" w:rsidRPr="00FA0B4B" w:rsidRDefault="00000000" w:rsidP="00FA0B4B">
      <w:pPr>
        <w:spacing w:after="80"/>
        <w:rPr>
          <w:color w:val="000000" w:themeColor="text1"/>
          <w:lang w:val="es-ES_tradnl"/>
        </w:rPr>
      </w:pPr>
      <w:r w:rsidRPr="00FA0B4B">
        <w:rPr>
          <w:rFonts w:ascii="Calibri" w:hAnsi="Calibri"/>
          <w:color w:val="000000" w:themeColor="text1"/>
          <w:sz w:val="19"/>
          <w:lang w:val="es-ES_tradnl"/>
        </w:rPr>
        <w:t>Esa misma tarde, Lucía solicita al rector la convocatoria urgente del CAE. Se reúnen el rector, dos docentes, l</w:t>
      </w:r>
      <w:r w:rsidR="00FA0B4B" w:rsidRPr="00FA0B4B">
        <w:rPr>
          <w:rFonts w:ascii="Calibri" w:hAnsi="Calibri"/>
          <w:color w:val="000000" w:themeColor="text1"/>
          <w:sz w:val="19"/>
          <w:lang w:val="es-ES_tradnl"/>
        </w:rPr>
        <w:t>os</w:t>
      </w:r>
      <w:r w:rsidRPr="00FA0B4B">
        <w:rPr>
          <w:rFonts w:ascii="Calibri" w:hAnsi="Calibri"/>
          <w:color w:val="000000" w:themeColor="text1"/>
          <w:sz w:val="19"/>
          <w:lang w:val="es-ES_tradnl"/>
        </w:rPr>
        <w:t xml:space="preserve"> representante</w:t>
      </w:r>
      <w:r w:rsidR="00FA0B4B" w:rsidRPr="00FA0B4B">
        <w:rPr>
          <w:rFonts w:ascii="Calibri" w:hAnsi="Calibri"/>
          <w:color w:val="000000" w:themeColor="text1"/>
          <w:sz w:val="19"/>
          <w:lang w:val="es-ES_tradnl"/>
        </w:rPr>
        <w:t>s</w:t>
      </w:r>
      <w:r w:rsidRPr="00FA0B4B">
        <w:rPr>
          <w:rFonts w:ascii="Calibri" w:hAnsi="Calibri"/>
          <w:color w:val="000000" w:themeColor="text1"/>
          <w:sz w:val="19"/>
          <w:lang w:val="es-ES_tradnl"/>
        </w:rPr>
        <w:t xml:space="preserve"> estudiantil</w:t>
      </w:r>
      <w:r w:rsidR="00FA0B4B" w:rsidRPr="00FA0B4B">
        <w:rPr>
          <w:rFonts w:ascii="Calibri" w:hAnsi="Calibri"/>
          <w:color w:val="000000" w:themeColor="text1"/>
          <w:sz w:val="19"/>
          <w:lang w:val="es-ES_tradnl"/>
        </w:rPr>
        <w:t>es</w:t>
      </w:r>
      <w:r w:rsidRPr="00FA0B4B">
        <w:rPr>
          <w:rFonts w:ascii="Calibri" w:hAnsi="Calibri"/>
          <w:color w:val="000000" w:themeColor="text1"/>
          <w:sz w:val="19"/>
          <w:lang w:val="es-ES_tradnl"/>
        </w:rPr>
        <w:t xml:space="preserve"> y Lucía como representante de padres. Juntos levantan </w:t>
      </w:r>
      <w:r w:rsidR="00FA0B4B" w:rsidRPr="00FA0B4B">
        <w:rPr>
          <w:rFonts w:ascii="Calibri" w:hAnsi="Calibri"/>
          <w:color w:val="000000" w:themeColor="text1"/>
          <w:sz w:val="19"/>
          <w:lang w:val="es-ES_tradnl"/>
        </w:rPr>
        <w:t>un</w:t>
      </w:r>
      <w:r w:rsidRPr="00FA0B4B">
        <w:rPr>
          <w:rFonts w:ascii="Calibri" w:hAnsi="Calibri"/>
          <w:color w:val="000000" w:themeColor="text1"/>
          <w:sz w:val="19"/>
          <w:lang w:val="es-ES_tradnl"/>
        </w:rPr>
        <w:t xml:space="preserve"> Acta</w:t>
      </w:r>
      <w:r w:rsidR="00FA0B4B" w:rsidRPr="00FA0B4B">
        <w:rPr>
          <w:rFonts w:ascii="Calibri" w:hAnsi="Calibri"/>
          <w:color w:val="000000" w:themeColor="text1"/>
          <w:sz w:val="19"/>
          <w:lang w:val="es-ES_tradnl"/>
        </w:rPr>
        <w:t xml:space="preserve"> y</w:t>
      </w:r>
      <w:r w:rsidRPr="00FA0B4B">
        <w:rPr>
          <w:rFonts w:ascii="Calibri" w:hAnsi="Calibri"/>
          <w:color w:val="000000" w:themeColor="text1"/>
          <w:sz w:val="19"/>
          <w:lang w:val="es-ES_tradnl"/>
        </w:rPr>
        <w:t xml:space="preserve"> registran las irregularidades con fecha, evidencia fotográfica y firmas. El acta se remite al operador y a la Secretaría de Educación de Antioquia como ETC responsable.</w:t>
      </w:r>
    </w:p>
    <w:p w14:paraId="61167AD3" w14:textId="77777777" w:rsidR="009A5F87" w:rsidRPr="00FA0B4B" w:rsidRDefault="00000000" w:rsidP="00FA0B4B">
      <w:pPr>
        <w:spacing w:before="40" w:after="40"/>
        <w:rPr>
          <w:color w:val="000000" w:themeColor="text1"/>
          <w:lang w:val="es-ES_tradnl"/>
        </w:rPr>
      </w:pPr>
      <w:r w:rsidRPr="00FA0B4B">
        <w:rPr>
          <w:rFonts w:ascii="Calibri" w:hAnsi="Calibri"/>
          <w:b/>
          <w:color w:val="000000" w:themeColor="text1"/>
          <w:sz w:val="20"/>
          <w:lang w:val="es-ES_tradnl"/>
        </w:rPr>
        <w:t>Mecanismo 2 – Derecho de petición y acceso a la información pública (Ley 1712/2014)</w:t>
      </w:r>
    </w:p>
    <w:p w14:paraId="3672E265" w14:textId="0CB44861" w:rsidR="009A5F87" w:rsidRPr="00FA0B4B" w:rsidRDefault="00000000" w:rsidP="00FA0B4B">
      <w:pPr>
        <w:spacing w:after="80"/>
        <w:rPr>
          <w:color w:val="000000" w:themeColor="text1"/>
          <w:lang w:val="es-ES_tradnl"/>
        </w:rPr>
      </w:pPr>
      <w:r w:rsidRPr="00FA0B4B">
        <w:rPr>
          <w:rFonts w:ascii="Calibri" w:hAnsi="Calibri"/>
          <w:color w:val="000000" w:themeColor="text1"/>
          <w:sz w:val="19"/>
          <w:lang w:val="es-ES_tradnl"/>
        </w:rPr>
        <w:t xml:space="preserve">Al día siguiente, Lucía radica un Derecho de Petición ante la ETC (Ley 1755/2015) solicitando: el ciclo de menús vigente aprobado por la UApA, el informe de supervisión del contrato y las actas de la última Mesa Pública. La ETC tiene 15 días </w:t>
      </w:r>
      <w:r w:rsidRPr="00FA0B4B">
        <w:rPr>
          <w:rFonts w:ascii="Calibri" w:hAnsi="Calibri"/>
          <w:color w:val="000000" w:themeColor="text1"/>
          <w:sz w:val="19"/>
          <w:lang w:val="es-ES_tradnl"/>
        </w:rPr>
        <w:lastRenderedPageBreak/>
        <w:t>hábiles para responder. Con esa información, Lucía podrá verificar si hay incumplimiento contractual y, de confirmarse, reportarlo a la Contraloría Departamental.</w:t>
      </w:r>
    </w:p>
    <w:p w14:paraId="70640C30" w14:textId="77777777" w:rsidR="009A5F87" w:rsidRPr="00FA0B4B" w:rsidRDefault="00000000" w:rsidP="00FA0B4B">
      <w:pPr>
        <w:spacing w:before="40" w:after="40"/>
        <w:rPr>
          <w:color w:val="000000" w:themeColor="text1"/>
          <w:lang w:val="es-ES_tradnl"/>
        </w:rPr>
      </w:pPr>
      <w:r w:rsidRPr="00FA0B4B">
        <w:rPr>
          <w:rFonts w:ascii="Calibri" w:hAnsi="Calibri"/>
          <w:b/>
          <w:color w:val="000000" w:themeColor="text1"/>
          <w:sz w:val="20"/>
          <w:lang w:val="es-ES_tradnl"/>
        </w:rPr>
        <w:t>Mecanismo 3 – Mesa Pública: rendición de cuentas ante la comunidad</w:t>
      </w:r>
    </w:p>
    <w:p w14:paraId="493482ED" w14:textId="7B49678F" w:rsidR="009A5F87" w:rsidRPr="00FA0B4B" w:rsidRDefault="00000000" w:rsidP="00FA0B4B">
      <w:pPr>
        <w:spacing w:after="100"/>
        <w:rPr>
          <w:color w:val="000000" w:themeColor="text1"/>
          <w:lang w:val="es-ES_tradnl"/>
        </w:rPr>
      </w:pPr>
      <w:r w:rsidRPr="00FA0B4B">
        <w:rPr>
          <w:rFonts w:ascii="Calibri" w:hAnsi="Calibri"/>
          <w:color w:val="000000" w:themeColor="text1"/>
          <w:sz w:val="19"/>
          <w:lang w:val="es-ES_tradnl"/>
        </w:rPr>
        <w:t>En mayo de 2026, la Secretaría de Educación convoca la Mesa Pública semestral del PAE. Lucía y el CAE presentan su informe ante la comunidad y la ETC debe responder públicamente: ¿qué pasó con el menú? ¿qué correctivos se aplicaron al operador? La ETC se compromete a imponer una multa contractual y a reforzar la supervisión. Los acuerdos quedan registrados en el acta de la Mesa Pública con plazos y responsables.</w:t>
      </w:r>
    </w:p>
    <w:p w14:paraId="64B0B046" w14:textId="658726EB" w:rsidR="009A5F87" w:rsidRPr="00FA0B4B" w:rsidRDefault="00000000" w:rsidP="00FA0B4B">
      <w:pPr>
        <w:spacing w:before="40" w:after="60"/>
        <w:rPr>
          <w:color w:val="000000" w:themeColor="text1"/>
          <w:lang w:val="es-ES_tradnl"/>
        </w:rPr>
      </w:pPr>
      <w:r w:rsidRPr="00FA0B4B">
        <w:rPr>
          <w:rFonts w:ascii="Calibri" w:hAnsi="Calibri"/>
          <w:b/>
          <w:color w:val="000000" w:themeColor="text1"/>
          <w:sz w:val="21"/>
          <w:lang w:val="es-ES_tradnl"/>
        </w:rPr>
        <w:t>¿</w:t>
      </w:r>
      <w:r w:rsidR="00EE4529">
        <w:rPr>
          <w:rFonts w:ascii="Calibri" w:hAnsi="Calibri"/>
          <w:b/>
          <w:color w:val="000000" w:themeColor="text1"/>
          <w:sz w:val="21"/>
          <w:lang w:val="es-ES_tradnl"/>
        </w:rPr>
        <w:t>Q</w:t>
      </w:r>
      <w:r w:rsidRPr="00FA0B4B">
        <w:rPr>
          <w:rFonts w:ascii="Calibri" w:hAnsi="Calibri"/>
          <w:b/>
          <w:color w:val="000000" w:themeColor="text1"/>
          <w:sz w:val="21"/>
          <w:lang w:val="es-ES_tradnl"/>
        </w:rPr>
        <w:t>ué nos enseña este caso?</w:t>
      </w:r>
    </w:p>
    <w:tbl>
      <w:tblPr>
        <w:tblStyle w:val="Tablaconcuadrcula"/>
        <w:tblW w:w="0" w:type="auto"/>
        <w:tblLook w:val="04A0" w:firstRow="1" w:lastRow="0" w:firstColumn="1" w:lastColumn="0" w:noHBand="0" w:noVBand="1"/>
      </w:tblPr>
      <w:tblGrid>
        <w:gridCol w:w="3118"/>
        <w:gridCol w:w="4989"/>
      </w:tblGrid>
      <w:tr w:rsidR="009A5F87" w:rsidRPr="00FA0B4B" w14:paraId="33602636" w14:textId="77777777" w:rsidTr="00FA0B4B">
        <w:tc>
          <w:tcPr>
            <w:tcW w:w="3118" w:type="dxa"/>
          </w:tcPr>
          <w:p w14:paraId="696752CE" w14:textId="77777777" w:rsidR="009A5F87" w:rsidRPr="00FA0B4B" w:rsidRDefault="00000000" w:rsidP="00FA0B4B">
            <w:pPr>
              <w:spacing w:before="20" w:after="20"/>
              <w:rPr>
                <w:color w:val="000000" w:themeColor="text1"/>
                <w:lang w:val="es-ES_tradnl"/>
              </w:rPr>
            </w:pPr>
            <w:r w:rsidRPr="00FA0B4B">
              <w:rPr>
                <w:rFonts w:ascii="Calibri" w:hAnsi="Calibri"/>
                <w:b/>
                <w:color w:val="000000" w:themeColor="text1"/>
                <w:sz w:val="17"/>
                <w:lang w:val="es-ES_tradnl"/>
              </w:rPr>
              <w:t>Contenido del Módulo 2</w:t>
            </w:r>
          </w:p>
        </w:tc>
        <w:tc>
          <w:tcPr>
            <w:tcW w:w="4989" w:type="dxa"/>
          </w:tcPr>
          <w:p w14:paraId="3BE09FD3" w14:textId="77777777" w:rsidR="009A5F87" w:rsidRPr="00FA0B4B" w:rsidRDefault="00000000" w:rsidP="00FA0B4B">
            <w:pPr>
              <w:spacing w:before="20" w:after="20"/>
              <w:rPr>
                <w:color w:val="000000" w:themeColor="text1"/>
                <w:lang w:val="es-ES_tradnl"/>
              </w:rPr>
            </w:pPr>
            <w:r w:rsidRPr="00FA0B4B">
              <w:rPr>
                <w:rFonts w:ascii="Calibri" w:hAnsi="Calibri"/>
                <w:b/>
                <w:color w:val="000000" w:themeColor="text1"/>
                <w:sz w:val="17"/>
                <w:lang w:val="es-ES_tradnl"/>
              </w:rPr>
              <w:t>Cómo se manifiesta en el caso</w:t>
            </w:r>
          </w:p>
        </w:tc>
      </w:tr>
      <w:tr w:rsidR="009A5F87" w:rsidRPr="00FA0B4B" w14:paraId="4DB9DB7A" w14:textId="77777777" w:rsidTr="00FA0B4B">
        <w:tc>
          <w:tcPr>
            <w:tcW w:w="3118" w:type="dxa"/>
          </w:tcPr>
          <w:p w14:paraId="0AA6C72D" w14:textId="77777777" w:rsidR="009A5F87" w:rsidRPr="00FA0B4B" w:rsidRDefault="00000000" w:rsidP="00FA0B4B">
            <w:pPr>
              <w:spacing w:before="20" w:after="20"/>
              <w:rPr>
                <w:color w:val="000000" w:themeColor="text1"/>
                <w:lang w:val="es-ES_tradnl"/>
              </w:rPr>
            </w:pPr>
            <w:r w:rsidRPr="00FA0B4B">
              <w:rPr>
                <w:rFonts w:ascii="Calibri" w:hAnsi="Calibri"/>
                <w:color w:val="000000" w:themeColor="text1"/>
                <w:sz w:val="17"/>
                <w:lang w:val="es-ES_tradnl"/>
              </w:rPr>
              <w:t>Actores y roles en el PAE</w:t>
            </w:r>
          </w:p>
        </w:tc>
        <w:tc>
          <w:tcPr>
            <w:tcW w:w="4989" w:type="dxa"/>
          </w:tcPr>
          <w:p w14:paraId="3B33CFDB" w14:textId="77777777" w:rsidR="009A5F87" w:rsidRPr="00FA0B4B" w:rsidRDefault="00000000" w:rsidP="00FA0B4B">
            <w:pPr>
              <w:spacing w:before="20" w:after="20"/>
              <w:rPr>
                <w:color w:val="000000" w:themeColor="text1"/>
                <w:lang w:val="es-ES_tradnl"/>
              </w:rPr>
            </w:pPr>
            <w:r w:rsidRPr="00FA0B4B">
              <w:rPr>
                <w:rFonts w:ascii="Calibri" w:hAnsi="Calibri"/>
                <w:color w:val="000000" w:themeColor="text1"/>
                <w:sz w:val="17"/>
                <w:lang w:val="es-ES_tradnl"/>
              </w:rPr>
              <w:t>Cada actor (CAE, rector, ETC, operador) cumple su función específica de forma articulada.</w:t>
            </w:r>
          </w:p>
        </w:tc>
      </w:tr>
      <w:tr w:rsidR="009A5F87" w:rsidRPr="00FA0B4B" w14:paraId="26000BB0" w14:textId="77777777" w:rsidTr="00FA0B4B">
        <w:tc>
          <w:tcPr>
            <w:tcW w:w="3118" w:type="dxa"/>
          </w:tcPr>
          <w:p w14:paraId="6E25A5C5" w14:textId="77777777" w:rsidR="009A5F87" w:rsidRPr="00FA0B4B" w:rsidRDefault="00000000" w:rsidP="00FA0B4B">
            <w:pPr>
              <w:spacing w:before="20" w:after="20"/>
              <w:rPr>
                <w:color w:val="000000" w:themeColor="text1"/>
                <w:lang w:val="es-ES_tradnl"/>
              </w:rPr>
            </w:pPr>
            <w:r w:rsidRPr="00FA0B4B">
              <w:rPr>
                <w:rFonts w:ascii="Calibri" w:hAnsi="Calibri"/>
                <w:color w:val="000000" w:themeColor="text1"/>
                <w:sz w:val="17"/>
                <w:lang w:val="es-ES_tradnl"/>
              </w:rPr>
              <w:t>Corresponsabilidad</w:t>
            </w:r>
          </w:p>
        </w:tc>
        <w:tc>
          <w:tcPr>
            <w:tcW w:w="4989" w:type="dxa"/>
          </w:tcPr>
          <w:p w14:paraId="3555573A" w14:textId="446D0362" w:rsidR="009A5F87" w:rsidRPr="00FA0B4B" w:rsidRDefault="00000000" w:rsidP="00FA0B4B">
            <w:pPr>
              <w:spacing w:before="20" w:after="20"/>
              <w:rPr>
                <w:color w:val="000000" w:themeColor="text1"/>
                <w:lang w:val="es-ES_tradnl"/>
              </w:rPr>
            </w:pPr>
            <w:r w:rsidRPr="00FA0B4B">
              <w:rPr>
                <w:rFonts w:ascii="Calibri" w:hAnsi="Calibri"/>
                <w:color w:val="000000" w:themeColor="text1"/>
                <w:sz w:val="17"/>
                <w:lang w:val="es-ES_tradnl"/>
              </w:rPr>
              <w:t xml:space="preserve">Lucía (familia), </w:t>
            </w:r>
            <w:r w:rsidR="00EE4529">
              <w:rPr>
                <w:rFonts w:ascii="Calibri" w:hAnsi="Calibri"/>
                <w:color w:val="000000" w:themeColor="text1"/>
                <w:sz w:val="17"/>
                <w:lang w:val="es-ES_tradnl"/>
              </w:rPr>
              <w:t>los estudiantes (Representantes</w:t>
            </w:r>
            <w:proofErr w:type="gramStart"/>
            <w:r w:rsidR="00EE4529">
              <w:rPr>
                <w:rFonts w:ascii="Calibri" w:hAnsi="Calibri"/>
                <w:color w:val="000000" w:themeColor="text1"/>
                <w:sz w:val="17"/>
                <w:lang w:val="es-ES_tradnl"/>
              </w:rPr>
              <w:t>) ,</w:t>
            </w:r>
            <w:proofErr w:type="gramEnd"/>
            <w:r w:rsidR="00EE4529">
              <w:rPr>
                <w:rFonts w:ascii="Calibri" w:hAnsi="Calibri"/>
                <w:color w:val="000000" w:themeColor="text1"/>
                <w:sz w:val="17"/>
                <w:lang w:val="es-ES_tradnl"/>
              </w:rPr>
              <w:t xml:space="preserve"> </w:t>
            </w:r>
            <w:r w:rsidRPr="00FA0B4B">
              <w:rPr>
                <w:rFonts w:ascii="Calibri" w:hAnsi="Calibri"/>
                <w:color w:val="000000" w:themeColor="text1"/>
                <w:sz w:val="17"/>
                <w:lang w:val="es-ES_tradnl"/>
              </w:rPr>
              <w:t>el rector (IE) y la comunidad actúan de forma conjunta y complementaria.</w:t>
            </w:r>
          </w:p>
        </w:tc>
      </w:tr>
      <w:tr w:rsidR="009A5F87" w:rsidRPr="00FA0B4B" w14:paraId="5A815A42" w14:textId="77777777" w:rsidTr="00FA0B4B">
        <w:tc>
          <w:tcPr>
            <w:tcW w:w="3118" w:type="dxa"/>
          </w:tcPr>
          <w:p w14:paraId="6ACD1A94" w14:textId="77777777" w:rsidR="009A5F87" w:rsidRPr="00FA0B4B" w:rsidRDefault="00000000" w:rsidP="00FA0B4B">
            <w:pPr>
              <w:spacing w:before="20" w:after="20"/>
              <w:rPr>
                <w:color w:val="000000" w:themeColor="text1"/>
                <w:lang w:val="es-ES_tradnl"/>
              </w:rPr>
            </w:pPr>
            <w:r w:rsidRPr="00FA0B4B">
              <w:rPr>
                <w:rFonts w:ascii="Calibri" w:hAnsi="Calibri"/>
                <w:color w:val="000000" w:themeColor="text1"/>
                <w:sz w:val="17"/>
                <w:lang w:val="es-ES_tradnl"/>
              </w:rPr>
              <w:t>Marco normativo (Res. 003/2026 – Anexo 7)</w:t>
            </w:r>
          </w:p>
        </w:tc>
        <w:tc>
          <w:tcPr>
            <w:tcW w:w="4989" w:type="dxa"/>
          </w:tcPr>
          <w:p w14:paraId="59819015" w14:textId="77777777" w:rsidR="009A5F87" w:rsidRPr="00FA0B4B" w:rsidRDefault="00000000" w:rsidP="00FA0B4B">
            <w:pPr>
              <w:spacing w:before="20" w:after="20"/>
              <w:rPr>
                <w:color w:val="000000" w:themeColor="text1"/>
                <w:lang w:val="es-ES_tradnl"/>
              </w:rPr>
            </w:pPr>
            <w:r w:rsidRPr="00FA0B4B">
              <w:rPr>
                <w:rFonts w:ascii="Calibri" w:hAnsi="Calibri"/>
                <w:color w:val="000000" w:themeColor="text1"/>
                <w:sz w:val="17"/>
                <w:lang w:val="es-ES_tradnl"/>
              </w:rPr>
              <w:t>Cada paso de Lucía tiene fundamento en una norma concreta y exigible.</w:t>
            </w:r>
          </w:p>
        </w:tc>
      </w:tr>
      <w:tr w:rsidR="009A5F87" w:rsidRPr="00FA0B4B" w14:paraId="1B9EA625" w14:textId="77777777" w:rsidTr="00FA0B4B">
        <w:tc>
          <w:tcPr>
            <w:tcW w:w="3118" w:type="dxa"/>
          </w:tcPr>
          <w:p w14:paraId="2F706DA5" w14:textId="77777777" w:rsidR="009A5F87" w:rsidRPr="00FA0B4B" w:rsidRDefault="00000000" w:rsidP="00FA0B4B">
            <w:pPr>
              <w:spacing w:before="20" w:after="20"/>
              <w:rPr>
                <w:color w:val="000000" w:themeColor="text1"/>
                <w:lang w:val="es-ES_tradnl"/>
              </w:rPr>
            </w:pPr>
            <w:r w:rsidRPr="00FA0B4B">
              <w:rPr>
                <w:rFonts w:ascii="Calibri" w:hAnsi="Calibri"/>
                <w:color w:val="000000" w:themeColor="text1"/>
                <w:sz w:val="17"/>
                <w:lang w:val="es-ES_tradnl"/>
              </w:rPr>
              <w:t>CAE como mecanismo de control</w:t>
            </w:r>
          </w:p>
        </w:tc>
        <w:tc>
          <w:tcPr>
            <w:tcW w:w="4989" w:type="dxa"/>
          </w:tcPr>
          <w:p w14:paraId="072B1A5A" w14:textId="77777777" w:rsidR="009A5F87" w:rsidRPr="00FA0B4B" w:rsidRDefault="00000000" w:rsidP="00FA0B4B">
            <w:pPr>
              <w:spacing w:before="20" w:after="20"/>
              <w:rPr>
                <w:color w:val="000000" w:themeColor="text1"/>
                <w:lang w:val="es-ES_tradnl"/>
              </w:rPr>
            </w:pPr>
            <w:r w:rsidRPr="00FA0B4B">
              <w:rPr>
                <w:rFonts w:ascii="Calibri" w:hAnsi="Calibri"/>
                <w:color w:val="000000" w:themeColor="text1"/>
                <w:sz w:val="17"/>
                <w:lang w:val="es-ES_tradnl"/>
              </w:rPr>
              <w:t>Acta de urgencia con formato Anexo 7: documentación formal del incumplimiento.</w:t>
            </w:r>
          </w:p>
        </w:tc>
      </w:tr>
      <w:tr w:rsidR="009A5F87" w:rsidRPr="00FA0B4B" w14:paraId="38096135" w14:textId="77777777" w:rsidTr="00FA0B4B">
        <w:tc>
          <w:tcPr>
            <w:tcW w:w="3118" w:type="dxa"/>
          </w:tcPr>
          <w:p w14:paraId="30589CCE" w14:textId="77777777" w:rsidR="009A5F87" w:rsidRPr="00FA0B4B" w:rsidRDefault="00000000" w:rsidP="00FA0B4B">
            <w:pPr>
              <w:spacing w:before="20" w:after="20"/>
              <w:rPr>
                <w:color w:val="000000" w:themeColor="text1"/>
                <w:lang w:val="es-ES_tradnl"/>
              </w:rPr>
            </w:pPr>
            <w:r w:rsidRPr="00FA0B4B">
              <w:rPr>
                <w:rFonts w:ascii="Calibri" w:hAnsi="Calibri"/>
                <w:color w:val="000000" w:themeColor="text1"/>
                <w:sz w:val="17"/>
                <w:lang w:val="es-ES_tradnl"/>
              </w:rPr>
              <w:t>Rendición de cuentas – Mesa Pública</w:t>
            </w:r>
          </w:p>
        </w:tc>
        <w:tc>
          <w:tcPr>
            <w:tcW w:w="4989" w:type="dxa"/>
          </w:tcPr>
          <w:p w14:paraId="528449A0" w14:textId="77777777" w:rsidR="009A5F87" w:rsidRPr="00FA0B4B" w:rsidRDefault="00000000" w:rsidP="00FA0B4B">
            <w:pPr>
              <w:spacing w:before="20" w:after="20"/>
              <w:rPr>
                <w:color w:val="000000" w:themeColor="text1"/>
                <w:lang w:val="es-ES_tradnl"/>
              </w:rPr>
            </w:pPr>
            <w:r w:rsidRPr="00FA0B4B">
              <w:rPr>
                <w:rFonts w:ascii="Calibri" w:hAnsi="Calibri"/>
                <w:color w:val="000000" w:themeColor="text1"/>
                <w:sz w:val="17"/>
                <w:lang w:val="es-ES_tradnl"/>
              </w:rPr>
              <w:t>La ETC rinde cuentas ante la comunidad y asume compromisos verificables.</w:t>
            </w:r>
          </w:p>
        </w:tc>
      </w:tr>
      <w:tr w:rsidR="009A5F87" w:rsidRPr="00FA0B4B" w14:paraId="0E3C66BB" w14:textId="77777777" w:rsidTr="00FA0B4B">
        <w:tc>
          <w:tcPr>
            <w:tcW w:w="3118" w:type="dxa"/>
          </w:tcPr>
          <w:p w14:paraId="5AE2FF2D" w14:textId="77777777" w:rsidR="009A5F87" w:rsidRPr="00FA0B4B" w:rsidRDefault="00000000" w:rsidP="00FA0B4B">
            <w:pPr>
              <w:spacing w:before="20" w:after="20"/>
              <w:rPr>
                <w:color w:val="000000" w:themeColor="text1"/>
                <w:lang w:val="es-ES_tradnl"/>
              </w:rPr>
            </w:pPr>
            <w:r w:rsidRPr="00FA0B4B">
              <w:rPr>
                <w:rFonts w:ascii="Calibri" w:hAnsi="Calibri"/>
                <w:color w:val="000000" w:themeColor="text1"/>
                <w:sz w:val="17"/>
                <w:lang w:val="es-ES_tradnl"/>
              </w:rPr>
              <w:t>Acceso a la información (Ley 1712/2014)</w:t>
            </w:r>
          </w:p>
        </w:tc>
        <w:tc>
          <w:tcPr>
            <w:tcW w:w="4989" w:type="dxa"/>
          </w:tcPr>
          <w:p w14:paraId="516441C8" w14:textId="77777777" w:rsidR="009A5F87" w:rsidRPr="00FA0B4B" w:rsidRDefault="00000000" w:rsidP="00FA0B4B">
            <w:pPr>
              <w:spacing w:before="20" w:after="20"/>
              <w:rPr>
                <w:color w:val="000000" w:themeColor="text1"/>
                <w:lang w:val="es-ES_tradnl"/>
              </w:rPr>
            </w:pPr>
            <w:r w:rsidRPr="00FA0B4B">
              <w:rPr>
                <w:rFonts w:ascii="Calibri" w:hAnsi="Calibri"/>
                <w:color w:val="000000" w:themeColor="text1"/>
                <w:sz w:val="17"/>
                <w:lang w:val="es-ES_tradnl"/>
              </w:rPr>
              <w:t>Derecho de petición para obtener ciclo de menús, contratos e informes.</w:t>
            </w:r>
          </w:p>
        </w:tc>
      </w:tr>
    </w:tbl>
    <w:p w14:paraId="3E3DDBF1" w14:textId="77777777" w:rsidR="009A5F87" w:rsidRPr="00FA0B4B" w:rsidRDefault="009A5F87" w:rsidP="00FA0B4B">
      <w:pPr>
        <w:spacing w:after="80"/>
        <w:rPr>
          <w:color w:val="000000" w:themeColor="text1"/>
          <w:lang w:val="es-ES_tradnl"/>
        </w:rPr>
      </w:pPr>
    </w:p>
    <w:p w14:paraId="662B7561" w14:textId="4F975E6B" w:rsidR="009A5F87" w:rsidRPr="00FA0B4B" w:rsidRDefault="00000000" w:rsidP="00FA0B4B">
      <w:pPr>
        <w:spacing w:after="100"/>
        <w:ind w:left="170" w:right="170"/>
        <w:rPr>
          <w:color w:val="000000" w:themeColor="text1"/>
          <w:lang w:val="es-ES_tradnl"/>
        </w:rPr>
      </w:pPr>
      <w:r w:rsidRPr="00FA0B4B">
        <w:rPr>
          <w:rFonts w:ascii="Calibri" w:hAnsi="Calibri"/>
          <w:i/>
          <w:color w:val="000000" w:themeColor="text1"/>
          <w:sz w:val="17"/>
          <w:lang w:val="es-ES_tradnl"/>
        </w:rPr>
        <w:t xml:space="preserve">💡 ¿Y en tu territorio?: </w:t>
      </w:r>
      <w:r w:rsidR="00EE4529">
        <w:rPr>
          <w:rFonts w:ascii="Calibri" w:hAnsi="Calibri"/>
          <w:i/>
          <w:color w:val="000000" w:themeColor="text1"/>
          <w:sz w:val="17"/>
          <w:lang w:val="es-ES_tradnl"/>
        </w:rPr>
        <w:t xml:space="preserve">¿Conoces los actores que hacen parte del PAE? </w:t>
      </w:r>
      <w:r w:rsidRPr="00FA0B4B">
        <w:rPr>
          <w:rFonts w:ascii="Calibri" w:hAnsi="Calibri"/>
          <w:i/>
          <w:color w:val="000000" w:themeColor="text1"/>
          <w:sz w:val="17"/>
          <w:lang w:val="es-ES_tradnl"/>
        </w:rPr>
        <w:t>¿Está activo el CAE en tu institución? ¿Se realizan las Mesas Públicas? ¿Conoces el ciclo de menús aprobado? Identificar estas brechas es el primer paso para actuar.</w:t>
      </w:r>
    </w:p>
    <w:sectPr w:rsidR="009A5F87" w:rsidRPr="00FA0B4B" w:rsidSect="00034616">
      <w:footerReference w:type="default" r:id="rId8"/>
      <w:pgSz w:w="12240" w:h="15840"/>
      <w:pgMar w:top="1020" w:right="1247" w:bottom="1020" w:left="124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864B7" w14:textId="77777777" w:rsidR="009471F3" w:rsidRDefault="009471F3">
      <w:pPr>
        <w:spacing w:after="0" w:line="240" w:lineRule="auto"/>
      </w:pPr>
      <w:r>
        <w:separator/>
      </w:r>
    </w:p>
  </w:endnote>
  <w:endnote w:type="continuationSeparator" w:id="0">
    <w:p w14:paraId="1683AAE5" w14:textId="77777777" w:rsidR="009471F3" w:rsidRDefault="009471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66976" w14:textId="3A8CB8F1" w:rsidR="009A5F87" w:rsidRDefault="009A5F87">
    <w:pPr>
      <w:pStyle w:val="Piedep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D1C98" w14:textId="77777777" w:rsidR="009471F3" w:rsidRDefault="009471F3">
      <w:pPr>
        <w:spacing w:after="0" w:line="240" w:lineRule="auto"/>
      </w:pPr>
      <w:r>
        <w:separator/>
      </w:r>
    </w:p>
  </w:footnote>
  <w:footnote w:type="continuationSeparator" w:id="0">
    <w:p w14:paraId="01CDC00A" w14:textId="77777777" w:rsidR="009471F3" w:rsidRDefault="009471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num w:numId="1" w16cid:durableId="931160794">
    <w:abstractNumId w:val="8"/>
  </w:num>
  <w:num w:numId="2" w16cid:durableId="627395551">
    <w:abstractNumId w:val="6"/>
  </w:num>
  <w:num w:numId="3" w16cid:durableId="2034842799">
    <w:abstractNumId w:val="5"/>
  </w:num>
  <w:num w:numId="4" w16cid:durableId="1440567953">
    <w:abstractNumId w:val="4"/>
  </w:num>
  <w:num w:numId="5" w16cid:durableId="745298910">
    <w:abstractNumId w:val="7"/>
  </w:num>
  <w:num w:numId="6" w16cid:durableId="1316839897">
    <w:abstractNumId w:val="3"/>
  </w:num>
  <w:num w:numId="7" w16cid:durableId="1972006731">
    <w:abstractNumId w:val="2"/>
  </w:num>
  <w:num w:numId="8" w16cid:durableId="1539392680">
    <w:abstractNumId w:val="1"/>
  </w:num>
  <w:num w:numId="9" w16cid:durableId="16040665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6454DF"/>
    <w:rsid w:val="009471F3"/>
    <w:rsid w:val="009A5F87"/>
    <w:rsid w:val="00AA1D8D"/>
    <w:rsid w:val="00B47730"/>
    <w:rsid w:val="00CB0664"/>
    <w:rsid w:val="00EE4529"/>
    <w:rsid w:val="00FA0B4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20C19DE"/>
  <w14:defaultImageDpi w14:val="300"/>
  <w15:docId w15:val="{D8616DB7-D6D5-4A46-A5A9-EC50BF0F3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Fuerte">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233EF50D634152409E62760EDF6BDEB0" ma:contentTypeVersion="15" ma:contentTypeDescription="Crear nuevo documento." ma:contentTypeScope="" ma:versionID="c6bc2c54a29b2e142a91dc2cffd0463a">
  <xsd:schema xmlns:xsd="http://www.w3.org/2001/XMLSchema" xmlns:xs="http://www.w3.org/2001/XMLSchema" xmlns:p="http://schemas.microsoft.com/office/2006/metadata/properties" xmlns:ns2="edb2d03a-b0ac-4019-aba2-8f266c5a37b9" xmlns:ns3="dab95841-2a5b-4d06-988e-dcb998e97977" targetNamespace="http://schemas.microsoft.com/office/2006/metadata/properties" ma:root="true" ma:fieldsID="6b48c38da962a1ccb4cec0c8827d5c9f" ns2:_="" ns3:_="">
    <xsd:import namespace="edb2d03a-b0ac-4019-aba2-8f266c5a37b9"/>
    <xsd:import namespace="dab95841-2a5b-4d06-988e-dcb998e979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2d03a-b0ac-4019-aba2-8f266c5a37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d3f6cc16-641d-429b-a009-b19071f4101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ab95841-2a5b-4d06-988e-dcb998e97977"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4" nillable="true" ma:displayName="Taxonomy Catch All Column" ma:hidden="true" ma:list="{e0af0f29-4adb-4655-8243-bcc732493e8a}" ma:internalName="TaxCatchAll" ma:showField="CatchAllData" ma:web="dab95841-2a5b-4d06-988e-dcb998e979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db2d03a-b0ac-4019-aba2-8f266c5a37b9">
      <Terms xmlns="http://schemas.microsoft.com/office/infopath/2007/PartnerControls"/>
    </lcf76f155ced4ddcb4097134ff3c332f>
    <TaxCatchAll xmlns="dab95841-2a5b-4d06-988e-dcb998e97977" xsi:nil="true"/>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700A0219-A097-4013-A5F9-CA33959197DB}"/>
</file>

<file path=customXml/itemProps3.xml><?xml version="1.0" encoding="utf-8"?>
<ds:datastoreItem xmlns:ds="http://schemas.openxmlformats.org/officeDocument/2006/customXml" ds:itemID="{2C05E7D7-97F7-4A8C-9647-658D147393CB}"/>
</file>

<file path=customXml/itemProps4.xml><?xml version="1.0" encoding="utf-8"?>
<ds:datastoreItem xmlns:ds="http://schemas.openxmlformats.org/officeDocument/2006/customXml" ds:itemID="{A363B5A4-59F3-464A-B096-8A0F048D0CFD}"/>
</file>

<file path=docProps/app.xml><?xml version="1.0" encoding="utf-8"?>
<Properties xmlns="http://schemas.openxmlformats.org/officeDocument/2006/extended-properties" xmlns:vt="http://schemas.openxmlformats.org/officeDocument/2006/docPropsVTypes">
  <Template>Normal.dotm</Template>
  <TotalTime>1</TotalTime>
  <Pages>2</Pages>
  <Words>805</Words>
  <Characters>4432</Characters>
  <Application>Microsoft Office Word</Application>
  <DocSecurity>0</DocSecurity>
  <Lines>36</Lines>
  <Paragraphs>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5227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David Gerardo Bravo Esquinas</cp:lastModifiedBy>
  <cp:revision>2</cp:revision>
  <dcterms:created xsi:type="dcterms:W3CDTF">2026-06-17T15:19:00Z</dcterms:created>
  <dcterms:modified xsi:type="dcterms:W3CDTF">2026-06-17T15:19:00Z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0x010100233EF50D634152409E62760EDF6BDEB0</vt:lpwstr>
  </property>
</Properties>
</file>